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63BDE" w:rsidRDefault="00000000">
      <w:pPr>
        <w:pStyle w:val="3"/>
        <w:ind w:firstLine="643"/>
      </w:pPr>
      <w:r>
        <w:rPr>
          <w:rFonts w:hint="eastAsia"/>
        </w:rPr>
        <w:t>第一章公共部门的经济活动</w:t>
      </w:r>
    </w:p>
    <w:p w:rsidR="00763BDE" w:rsidRDefault="00000000">
      <w:pPr>
        <w:pStyle w:val="4"/>
        <w:ind w:left="240" w:firstLine="562"/>
      </w:pPr>
      <w:r>
        <w:rPr>
          <w:rFonts w:hint="eastAsia"/>
        </w:rPr>
        <w:t>市场失灵</w:t>
      </w:r>
    </w:p>
    <w:p w:rsidR="00763BDE" w:rsidRDefault="00000000">
      <w:pPr>
        <w:ind w:firstLine="480"/>
      </w:pPr>
      <w:r>
        <w:rPr>
          <w:rFonts w:hint="eastAsia"/>
        </w:rPr>
        <w:t>（一）定义：</w:t>
      </w:r>
    </w:p>
    <w:p w:rsidR="00763BDE" w:rsidRDefault="00000000">
      <w:pPr>
        <w:ind w:firstLine="480"/>
      </w:pPr>
      <w:r>
        <w:rPr>
          <w:rFonts w:hint="eastAsia"/>
        </w:rPr>
        <w:t>市场失灵是指在不完全竞争市场下，资源无法通过市场机制实现最优配置。</w:t>
      </w:r>
    </w:p>
    <w:p w:rsidR="00763BDE" w:rsidRDefault="00000000">
      <w:pPr>
        <w:numPr>
          <w:ilvl w:val="0"/>
          <w:numId w:val="1"/>
        </w:numPr>
        <w:ind w:firstLine="480"/>
      </w:pPr>
      <w:r>
        <w:rPr>
          <w:rFonts w:hint="eastAsia"/>
        </w:rPr>
        <w:t>原因：</w:t>
      </w:r>
    </w:p>
    <w:p w:rsidR="00763BDE" w:rsidRDefault="00000000">
      <w:pPr>
        <w:ind w:firstLine="480"/>
      </w:pPr>
      <w:r>
        <w:rPr>
          <w:rFonts w:hint="eastAsia"/>
        </w:rPr>
        <w:t>导致市场失灵的主要原因包括垄断、外部性、公共物品、不完全信息以及偏好不合理等。</w:t>
      </w:r>
    </w:p>
    <w:p w:rsidR="00763BDE" w:rsidRDefault="00000000">
      <w:pPr>
        <w:ind w:firstLine="480"/>
      </w:pPr>
      <w:r>
        <w:rPr>
          <w:rFonts w:hint="eastAsia"/>
        </w:rPr>
        <w:t>（三）主要表现：</w:t>
      </w:r>
    </w:p>
    <w:p w:rsidR="00763BDE" w:rsidRDefault="00000000">
      <w:pPr>
        <w:ind w:firstLine="480"/>
      </w:pPr>
      <w:r>
        <w:rPr>
          <w:rFonts w:hint="eastAsia"/>
        </w:rPr>
        <w:t>公共物品供给不足：由于公共物品的非排他和非竞争特性，市场无法有效提供，如公园、道路等。</w:t>
      </w:r>
    </w:p>
    <w:p w:rsidR="00763BDE" w:rsidRDefault="00000000">
      <w:pPr>
        <w:ind w:firstLine="480"/>
      </w:pPr>
      <w:r>
        <w:rPr>
          <w:rFonts w:hint="eastAsia"/>
        </w:rPr>
        <w:t>垄断：市场自由竞争条件下容易形成垄断，导致要素无法自由流动，影响资源配置效率。</w:t>
      </w:r>
    </w:p>
    <w:p w:rsidR="00763BDE" w:rsidRDefault="00000000">
      <w:pPr>
        <w:ind w:firstLine="480"/>
      </w:pPr>
      <w:r>
        <w:rPr>
          <w:rFonts w:hint="eastAsia"/>
        </w:rPr>
        <w:t>外部性：个体经济活动对其他个体产生影响，但市场无法有效解决这种外部性问题，如环境污染。</w:t>
      </w:r>
    </w:p>
    <w:p w:rsidR="00763BDE" w:rsidRDefault="00000000">
      <w:pPr>
        <w:ind w:firstLine="480"/>
      </w:pPr>
      <w:r>
        <w:rPr>
          <w:rFonts w:hint="eastAsia"/>
        </w:rPr>
        <w:t>信息不对称：市场中信息不充分或不对称，影响生产者和消费者的决策，降低市场效率。</w:t>
      </w:r>
    </w:p>
    <w:p w:rsidR="00763BDE" w:rsidRDefault="00000000">
      <w:pPr>
        <w:ind w:firstLine="480"/>
      </w:pPr>
      <w:r>
        <w:rPr>
          <w:rFonts w:hint="eastAsia"/>
        </w:rPr>
        <w:t>收入分配不公：市场竞争追求效率，可能导致收入分配不均，引发社会问题。</w:t>
      </w:r>
    </w:p>
    <w:p w:rsidR="00763BDE" w:rsidRDefault="00000000">
      <w:pPr>
        <w:ind w:firstLine="480"/>
      </w:pPr>
      <w:r>
        <w:rPr>
          <w:rFonts w:hint="eastAsia"/>
        </w:rPr>
        <w:t>失业、通货膨胀与经济波动：市场竞争可能导致失业、通胀和经济不稳定。</w:t>
      </w:r>
    </w:p>
    <w:p w:rsidR="00763BDE" w:rsidRDefault="00000000">
      <w:pPr>
        <w:ind w:firstLine="480"/>
      </w:pPr>
      <w:r>
        <w:rPr>
          <w:rFonts w:hint="eastAsia"/>
        </w:rPr>
        <w:t>（四）解决对策：</w:t>
      </w:r>
    </w:p>
    <w:p w:rsidR="00763BDE" w:rsidRDefault="00000000">
      <w:pPr>
        <w:ind w:firstLine="480"/>
      </w:pPr>
      <w:r>
        <w:rPr>
          <w:rFonts w:hint="eastAsia"/>
        </w:rPr>
        <w:t>政府干预：在市场失灵时，政府可以通过制定政策、提供公共物品、调节收入分配等手段来纠正市场失灵。</w:t>
      </w:r>
    </w:p>
    <w:p w:rsidR="00763BDE" w:rsidRDefault="00000000">
      <w:pPr>
        <w:ind w:firstLine="480"/>
      </w:pPr>
      <w:r>
        <w:rPr>
          <w:rFonts w:hint="eastAsia"/>
        </w:rPr>
        <w:t>加强监管：对垄断行业进行监管，防止其利用市场势力损害消费者利益。</w:t>
      </w:r>
    </w:p>
    <w:p w:rsidR="00763BDE" w:rsidRDefault="00000000">
      <w:pPr>
        <w:ind w:firstLine="480"/>
      </w:pPr>
      <w:r>
        <w:rPr>
          <w:rFonts w:hint="eastAsia"/>
        </w:rPr>
        <w:t>建立信息公开制度：减少信息不对称问题，提高市场透明度。</w:t>
      </w:r>
    </w:p>
    <w:p w:rsidR="00763BDE" w:rsidRDefault="00000000">
      <w:pPr>
        <w:ind w:firstLine="480"/>
      </w:pPr>
      <w:r>
        <w:rPr>
          <w:rFonts w:hint="eastAsia"/>
        </w:rPr>
        <w:t>促进公平竞争：打破行业壁垒，鼓励中小企业发展，增强市场竞争活力。</w:t>
      </w:r>
    </w:p>
    <w:p w:rsidR="00763BDE" w:rsidRDefault="00000000">
      <w:pPr>
        <w:ind w:firstLine="480"/>
      </w:pPr>
      <w:r>
        <w:rPr>
          <w:rFonts w:hint="eastAsia"/>
        </w:rPr>
        <w:t>需要注意的是，虽然政府干预可以纠正市场失灵，但过度干预也可能导致非市场失灵问题。因此，政府在实施干预时应谨慎权衡利弊。</w:t>
      </w:r>
    </w:p>
    <w:p w:rsidR="00763BDE" w:rsidRDefault="00000000">
      <w:pPr>
        <w:pStyle w:val="3"/>
        <w:ind w:firstLine="643"/>
      </w:pPr>
      <w:r>
        <w:rPr>
          <w:rFonts w:hint="eastAsia"/>
        </w:rPr>
        <w:t>第三章</w:t>
      </w:r>
      <w:r>
        <w:rPr>
          <w:rFonts w:hint="eastAsia"/>
        </w:rPr>
        <w:t xml:space="preserve"> </w:t>
      </w:r>
      <w:r>
        <w:rPr>
          <w:rFonts w:hint="eastAsia"/>
        </w:rPr>
        <w:t>公共物品或服务</w:t>
      </w:r>
    </w:p>
    <w:p w:rsidR="00763BDE" w:rsidRDefault="00000000">
      <w:pPr>
        <w:ind w:firstLine="480"/>
      </w:pPr>
      <w:r>
        <w:rPr>
          <w:rFonts w:hint="eastAsia"/>
        </w:rPr>
        <w:t>生产成本和分配成本的控制与优化是实现资源的合理配置和社会福利的最大化的重要手段。</w:t>
      </w:r>
    </w:p>
    <w:p w:rsidR="00763BDE" w:rsidRDefault="00000000">
      <w:pPr>
        <w:ind w:firstLine="480"/>
      </w:pPr>
      <w:r>
        <w:rPr>
          <w:rFonts w:hint="eastAsia"/>
        </w:rPr>
        <w:t>生产成本是指在生产过程中所消耗的资源和费用的总和。</w:t>
      </w:r>
      <w:r>
        <w:rPr>
          <w:rFonts w:hint="eastAsia"/>
        </w:rPr>
        <w:t xml:space="preserve">        </w:t>
      </w:r>
      <w:r>
        <w:rPr>
          <w:rFonts w:hint="eastAsia"/>
        </w:rPr>
        <w:t>这包括了原材料、劳动力、设备折旧以及各种间接费用等。生产成本是衡量企业生产效率和经济效益的重要指标，它直接影响到产品的定价和企业的利润空间。降低生产成本可以提高企业的竞争力，使得企业能够以更低的价格提供产品，从而吸引更多的消费者。</w:t>
      </w:r>
    </w:p>
    <w:p w:rsidR="00763BDE" w:rsidRDefault="00000000">
      <w:pPr>
        <w:ind w:firstLine="480"/>
      </w:pPr>
      <w:r>
        <w:rPr>
          <w:rFonts w:hint="eastAsia"/>
        </w:rPr>
        <w:t>通过提高生产效率、采用先进的生产技术和管理方法，可以降低生产成本，使得更多的资源可以用于社会公共服务和福利的改善。</w:t>
      </w:r>
    </w:p>
    <w:p w:rsidR="00763BDE" w:rsidRDefault="00000000">
      <w:pPr>
        <w:ind w:firstLine="480"/>
      </w:pPr>
      <w:r>
        <w:rPr>
          <w:rFonts w:hint="eastAsia"/>
        </w:rPr>
        <w:t>分配成本，则是指在将产品从生产者传递到消费者的过程中所产生的费用。</w:t>
      </w:r>
      <w:r>
        <w:rPr>
          <w:rFonts w:hint="eastAsia"/>
        </w:rPr>
        <w:lastRenderedPageBreak/>
        <w:t>这包括了运输、仓储、销售以及市场推广等方面的支出。分配成本的高低直接影响到产品的最终售价和消费者的购买成本。优化分配过程、降低分配成本，可以有效地减轻消费者的负担，使得产品更加亲民。</w:t>
      </w:r>
    </w:p>
    <w:p w:rsidR="00763BDE" w:rsidRDefault="00000000">
      <w:pPr>
        <w:ind w:firstLine="480"/>
      </w:pPr>
      <w:r>
        <w:rPr>
          <w:rFonts w:hint="eastAsia"/>
        </w:rPr>
        <w:t>通过优化物流体系、减少不必要的中间环节，可以降低分配成本，使得消费者能够以更低的价格获取到优质的产品和服务。</w:t>
      </w:r>
    </w:p>
    <w:p w:rsidR="00763BDE" w:rsidRDefault="00763BDE">
      <w:pPr>
        <w:ind w:firstLine="480"/>
      </w:pPr>
    </w:p>
    <w:p w:rsidR="00763BDE" w:rsidRDefault="00763BDE">
      <w:pPr>
        <w:pStyle w:val="3"/>
        <w:ind w:firstLine="643"/>
      </w:pPr>
    </w:p>
    <w:p w:rsidR="00763BDE" w:rsidRDefault="00763BDE">
      <w:pPr>
        <w:pStyle w:val="3"/>
        <w:ind w:firstLine="643"/>
      </w:pPr>
    </w:p>
    <w:p w:rsidR="00763BDE" w:rsidRDefault="00763BDE">
      <w:pPr>
        <w:pStyle w:val="3"/>
        <w:ind w:firstLine="643"/>
      </w:pPr>
    </w:p>
    <w:p w:rsidR="00763BDE" w:rsidRDefault="00000000">
      <w:pPr>
        <w:pStyle w:val="3"/>
        <w:ind w:firstLine="643"/>
      </w:pPr>
      <w:r>
        <w:rPr>
          <w:rFonts w:hint="eastAsia"/>
        </w:rPr>
        <w:t>第四章</w:t>
      </w:r>
      <w:r>
        <w:rPr>
          <w:rFonts w:hint="eastAsia"/>
        </w:rPr>
        <w:t xml:space="preserve"> </w:t>
      </w:r>
      <w:r>
        <w:rPr>
          <w:rFonts w:hint="eastAsia"/>
        </w:rPr>
        <w:t>公共选择</w:t>
      </w:r>
    </w:p>
    <w:p w:rsidR="00763BDE" w:rsidRDefault="00000000">
      <w:pPr>
        <w:pStyle w:val="4"/>
        <w:ind w:left="240" w:firstLine="562"/>
      </w:pPr>
      <w:r>
        <w:rPr>
          <w:rFonts w:hint="eastAsia"/>
        </w:rPr>
        <w:t>投票悖论</w:t>
      </w:r>
    </w:p>
    <w:p w:rsidR="00763BDE" w:rsidRDefault="00000000">
      <w:pPr>
        <w:ind w:firstLine="480"/>
      </w:pPr>
      <w:r>
        <w:rPr>
          <w:rFonts w:hint="eastAsia"/>
        </w:rPr>
        <w:t>投票悖论的核心在于，当面对三个或更多选项时，即使每个投票者的偏好都是一致的（即每个人都能够对选项进行完整的、传递性的排序），通过多数投票的方式也可能无法得出一个唯一且一致的结果。简单来说，就是在某些特定的偏好分布下，无论使用什么样的投票程序，都无法产生一个明确的赢家，因为不同的投票顺序或组合可能会导致不同的结果。</w:t>
      </w:r>
    </w:p>
    <w:p w:rsidR="00763BDE" w:rsidRDefault="00000000">
      <w:pPr>
        <w:ind w:firstLine="480"/>
      </w:pPr>
      <w:r>
        <w:rPr>
          <w:rFonts w:hint="eastAsia"/>
        </w:rPr>
        <w:t>这个悖论的一个经典例子是“投票循环”，其中</w:t>
      </w:r>
      <w:r>
        <w:rPr>
          <w:rFonts w:hint="eastAsia"/>
        </w:rPr>
        <w:t>A</w:t>
      </w:r>
      <w:r>
        <w:rPr>
          <w:rFonts w:hint="eastAsia"/>
        </w:rPr>
        <w:t>优于</w:t>
      </w:r>
      <w:r>
        <w:rPr>
          <w:rFonts w:hint="eastAsia"/>
        </w:rPr>
        <w:t>B</w:t>
      </w:r>
      <w:r>
        <w:rPr>
          <w:rFonts w:hint="eastAsia"/>
        </w:rPr>
        <w:t>，</w:t>
      </w:r>
      <w:r>
        <w:rPr>
          <w:rFonts w:hint="eastAsia"/>
        </w:rPr>
        <w:t>B</w:t>
      </w:r>
      <w:r>
        <w:rPr>
          <w:rFonts w:hint="eastAsia"/>
        </w:rPr>
        <w:t>优于</w:t>
      </w:r>
      <w:r>
        <w:rPr>
          <w:rFonts w:hint="eastAsia"/>
        </w:rPr>
        <w:t>C</w:t>
      </w:r>
      <w:r>
        <w:rPr>
          <w:rFonts w:hint="eastAsia"/>
        </w:rPr>
        <w:t>，但</w:t>
      </w:r>
      <w:r>
        <w:rPr>
          <w:rFonts w:hint="eastAsia"/>
        </w:rPr>
        <w:t>C</w:t>
      </w:r>
      <w:r>
        <w:rPr>
          <w:rFonts w:hint="eastAsia"/>
        </w:rPr>
        <w:t>又优于</w:t>
      </w:r>
      <w:r>
        <w:rPr>
          <w:rFonts w:hint="eastAsia"/>
        </w:rPr>
        <w:t>A</w:t>
      </w:r>
      <w:r>
        <w:rPr>
          <w:rFonts w:hint="eastAsia"/>
        </w:rPr>
        <w:t>，形成一个闭环。在这种情况下，任何两两比较的投票都可能导致不同的选项获胜，从而无法形成一个稳定的集体选择。</w:t>
      </w:r>
    </w:p>
    <w:p w:rsidR="00763BDE" w:rsidRDefault="00763BDE">
      <w:pPr>
        <w:pStyle w:val="3"/>
        <w:ind w:firstLine="643"/>
      </w:pPr>
    </w:p>
    <w:p w:rsidR="00763BDE" w:rsidRDefault="00000000">
      <w:pPr>
        <w:pStyle w:val="3"/>
        <w:ind w:firstLine="643"/>
      </w:pPr>
      <w:r>
        <w:rPr>
          <w:rFonts w:hint="eastAsia"/>
        </w:rPr>
        <w:t>第五章</w:t>
      </w:r>
      <w:r>
        <w:rPr>
          <w:rFonts w:hint="eastAsia"/>
        </w:rPr>
        <w:t xml:space="preserve"> </w:t>
      </w:r>
      <w:r>
        <w:rPr>
          <w:rFonts w:hint="eastAsia"/>
        </w:rPr>
        <w:t>公共规制</w:t>
      </w:r>
    </w:p>
    <w:p w:rsidR="00763BDE" w:rsidRDefault="00000000">
      <w:pPr>
        <w:pStyle w:val="4"/>
        <w:ind w:left="240" w:firstLine="562"/>
      </w:pPr>
      <w:r>
        <w:rPr>
          <w:rFonts w:hint="eastAsia"/>
        </w:rPr>
        <w:t>一、征税规制、庇古税和污染许可证的区别</w:t>
      </w:r>
    </w:p>
    <w:p w:rsidR="00763BDE" w:rsidRDefault="00000000">
      <w:pPr>
        <w:ind w:firstLine="480"/>
      </w:pPr>
      <w:r>
        <w:rPr>
          <w:rFonts w:hint="eastAsia"/>
        </w:rPr>
        <w:t>（</w:t>
      </w:r>
      <w:r>
        <w:t>一</w:t>
      </w:r>
      <w:r>
        <w:rPr>
          <w:rFonts w:hint="eastAsia"/>
        </w:rPr>
        <w:t>）</w:t>
      </w:r>
      <w:r>
        <w:t>征税规制</w:t>
      </w:r>
    </w:p>
    <w:p w:rsidR="00763BDE" w:rsidRDefault="00000000">
      <w:pPr>
        <w:ind w:firstLine="480"/>
      </w:pPr>
      <w:r>
        <w:t>定义：征税规制是公共部门采取征税的方式对部分经济活动进行限制的过程。</w:t>
      </w:r>
    </w:p>
    <w:p w:rsidR="00763BDE" w:rsidRDefault="00000000">
      <w:pPr>
        <w:ind w:firstLine="480"/>
      </w:pPr>
      <w:r>
        <w:t>特点：在实施征税规制时，政府会选择合适的税基进行征税，以产生不同的分配效应。这种方式通过税收来补偿私人成本与社会成本的差距，旨在解决相关的经济社会问题。</w:t>
      </w:r>
    </w:p>
    <w:p w:rsidR="00763BDE" w:rsidRDefault="00000000">
      <w:pPr>
        <w:ind w:firstLine="480"/>
      </w:pPr>
      <w:r>
        <w:rPr>
          <w:rFonts w:hint="eastAsia"/>
        </w:rPr>
        <w:t>（</w:t>
      </w:r>
      <w:r>
        <w:t>二</w:t>
      </w:r>
      <w:r>
        <w:rPr>
          <w:rFonts w:hint="eastAsia"/>
        </w:rPr>
        <w:t>）</w:t>
      </w:r>
      <w:r>
        <w:t>庇古税</w:t>
      </w:r>
    </w:p>
    <w:p w:rsidR="00763BDE" w:rsidRDefault="00000000">
      <w:pPr>
        <w:ind w:firstLine="480"/>
      </w:pPr>
      <w:r>
        <w:lastRenderedPageBreak/>
        <w:t>定义：庇古税是根据污染所造成的危害程度对排污者征税，用税收来弥补排污者生产的私人成本和社会成本之间的差距，使两者相等。这种税由英国经济学家庇古最先提出，因此得名。</w:t>
      </w:r>
    </w:p>
    <w:p w:rsidR="00763BDE" w:rsidRDefault="00000000">
      <w:pPr>
        <w:ind w:firstLine="480"/>
      </w:pPr>
      <w:r>
        <w:t>特点：庇古税的理论基础是外部性理论，即经济当事人的私人成本与社会成本不一致时，会导致市场配置资源失效。庇古税的目的就是通过征税或者补贴来矫正这种外部性，使资源配置达到帕累托最优状态。然而，庇古税的实施需要政府准确了解排污造成的边际成本，这在现实中可能由于信息不完全和不对称而难以实现。</w:t>
      </w:r>
    </w:p>
    <w:p w:rsidR="00763BDE" w:rsidRDefault="00000000">
      <w:pPr>
        <w:ind w:firstLine="480"/>
      </w:pPr>
      <w:r>
        <w:rPr>
          <w:rFonts w:hint="eastAsia"/>
        </w:rPr>
        <w:t>（</w:t>
      </w:r>
      <w:r>
        <w:t>三</w:t>
      </w:r>
      <w:r>
        <w:rPr>
          <w:rFonts w:hint="eastAsia"/>
        </w:rPr>
        <w:t>）</w:t>
      </w:r>
      <w:r>
        <w:t>污染许可证</w:t>
      </w:r>
    </w:p>
    <w:p w:rsidR="00763BDE" w:rsidRDefault="00000000">
      <w:pPr>
        <w:ind w:firstLine="480"/>
      </w:pPr>
      <w:r>
        <w:t>定义：污染许可证是污染许可证拍卖局向污染者拍卖的既定数量的污染许可。通过建立污染许可证拍卖制度，对污染的控制和治理产生积极作用。这是利用市场机制来解决环境污染问题的一种方法。</w:t>
      </w:r>
    </w:p>
    <w:p w:rsidR="00763BDE" w:rsidRDefault="00000000">
      <w:pPr>
        <w:ind w:firstLine="480"/>
      </w:pPr>
      <w:r>
        <w:t>特点：污染许可证制度通过拍卖污染许可证的方式来限制污染排放量。政府根据最优污染水平确定污染许可证的数量，并向污染者拍卖。只有购得许可证的污染者才有权进行所容许的一定量污染。这种方式的优势在于操作上比较简单易行和灵活方便，同时适用性强，可以应用于解决其他具有外部性特点的问题。然而，污染许可证制度也依赖充分的信息和竞争性市场才能有效运作。</w:t>
      </w:r>
    </w:p>
    <w:p w:rsidR="00763BDE" w:rsidRDefault="00000000">
      <w:pPr>
        <w:pStyle w:val="3"/>
        <w:numPr>
          <w:ilvl w:val="0"/>
          <w:numId w:val="2"/>
        </w:numPr>
        <w:ind w:firstLine="643"/>
      </w:pPr>
      <w:r>
        <w:rPr>
          <w:rFonts w:hint="eastAsia"/>
        </w:rPr>
        <w:t>购买性支出与转移性支出</w:t>
      </w:r>
    </w:p>
    <w:p w:rsidR="00763BDE" w:rsidRDefault="00000000">
      <w:pPr>
        <w:pStyle w:val="4"/>
        <w:ind w:left="240" w:firstLine="562"/>
      </w:pPr>
      <w:r>
        <w:rPr>
          <w:rFonts w:hint="eastAsia"/>
        </w:rPr>
        <w:t>一、三种教育补助方式经济效益对比</w:t>
      </w:r>
    </w:p>
    <w:p w:rsidR="00763BDE" w:rsidRDefault="00000000">
      <w:pPr>
        <w:ind w:firstLine="480"/>
      </w:pPr>
      <w:r>
        <w:t>学费补助主要促进教育机会的增加和教育公平的实现；收入补助则通过提高家庭收入来刺激教育需求和提升教育质量；而定额补助则更注重减轻居民教育负担和促进教育资源的公平分配。</w:t>
      </w:r>
    </w:p>
    <w:p w:rsidR="00763BDE" w:rsidRDefault="00000000">
      <w:pPr>
        <w:ind w:firstLine="480"/>
      </w:pPr>
      <w:r>
        <w:rPr>
          <w:rFonts w:hint="eastAsia"/>
        </w:rPr>
        <w:t>（一）</w:t>
      </w:r>
      <w:r>
        <w:t>学费补助：</w:t>
      </w:r>
    </w:p>
    <w:p w:rsidR="00763BDE" w:rsidRDefault="00000000">
      <w:pPr>
        <w:ind w:firstLineChars="0" w:firstLine="0"/>
      </w:pPr>
      <w:r>
        <w:tab/>
      </w:r>
      <w:r>
        <w:t>学费补助是政府将资金直接补助给学校，降低学生的学费负担。这种方式的经济效益主要体现在增加了学生接受教育的机会，特别是对于那些因经济原因而无法承担高昂学费的学生。</w:t>
      </w:r>
    </w:p>
    <w:p w:rsidR="00763BDE" w:rsidRDefault="00000000">
      <w:pPr>
        <w:ind w:firstLineChars="0" w:firstLine="0"/>
      </w:pPr>
      <w:r>
        <w:tab/>
      </w:r>
      <w:r>
        <w:t>通过学费补助，学校能够降低收费标准，从而吸引更多的学生入学，提高教育普及率。</w:t>
      </w:r>
    </w:p>
    <w:p w:rsidR="00763BDE" w:rsidRDefault="00000000">
      <w:pPr>
        <w:ind w:firstLineChars="0" w:firstLine="0"/>
      </w:pPr>
      <w:r>
        <w:tab/>
      </w:r>
      <w:r>
        <w:t>此外，学费补助还可以促进教育公平，减少因家庭经济状况不同而造成的教育机会不均等。</w:t>
      </w:r>
    </w:p>
    <w:p w:rsidR="00763BDE" w:rsidRDefault="00000000">
      <w:pPr>
        <w:ind w:firstLine="480"/>
      </w:pPr>
      <w:r>
        <w:rPr>
          <w:rFonts w:hint="eastAsia"/>
        </w:rPr>
        <w:t>（二）</w:t>
      </w:r>
      <w:r>
        <w:t>收入补助：</w:t>
      </w:r>
    </w:p>
    <w:p w:rsidR="00763BDE" w:rsidRDefault="00000000">
      <w:pPr>
        <w:ind w:firstLineChars="0" w:firstLine="0"/>
      </w:pPr>
      <w:r>
        <w:tab/>
      </w:r>
      <w:r>
        <w:t>收入补助是政府通过直接增加低收入家庭的收入水平，来提高他们的教育消费能力。这种补助方式的经济效益在于，它可以直接增加受益家庭的可支配收入，从而让他们有更多的资源投入到孩子的教育中。</w:t>
      </w:r>
    </w:p>
    <w:p w:rsidR="00763BDE" w:rsidRDefault="00000000">
      <w:pPr>
        <w:ind w:firstLineChars="0" w:firstLine="0"/>
      </w:pPr>
      <w:r>
        <w:tab/>
      </w:r>
      <w:r>
        <w:t>收入补助还可以刺激教育需求，促进教育市场的繁荣。当家庭有更多的资金用于教育时，他们可能会选择更高质量的教育资源，这有助于提高整个社会的教育水平。</w:t>
      </w:r>
    </w:p>
    <w:p w:rsidR="00763BDE" w:rsidRDefault="00000000">
      <w:pPr>
        <w:ind w:firstLineChars="0" w:firstLine="0"/>
      </w:pPr>
      <w:r>
        <w:tab/>
      </w:r>
      <w:r>
        <w:t>此外，收入补助还可以减少贫困家庭的经济压力，降低因贫困而辍学的风险。</w:t>
      </w:r>
    </w:p>
    <w:p w:rsidR="00763BDE" w:rsidRDefault="00000000">
      <w:pPr>
        <w:ind w:firstLine="480"/>
      </w:pPr>
      <w:r>
        <w:rPr>
          <w:rFonts w:hint="eastAsia"/>
        </w:rPr>
        <w:t>（三）</w:t>
      </w:r>
      <w:r>
        <w:t>定额补助：</w:t>
      </w:r>
    </w:p>
    <w:p w:rsidR="00763BDE" w:rsidRDefault="00000000">
      <w:pPr>
        <w:ind w:firstLineChars="0" w:firstLine="0"/>
      </w:pPr>
      <w:r>
        <w:tab/>
      </w:r>
      <w:r>
        <w:t>定额补助是让居民享受到一定数额的免费教育，其经济效益主要体现在减轻</w:t>
      </w:r>
      <w:r>
        <w:lastRenderedPageBreak/>
        <w:t>居民的教育负担和提高教育消费水平。</w:t>
      </w:r>
    </w:p>
    <w:p w:rsidR="00763BDE" w:rsidRDefault="00000000">
      <w:pPr>
        <w:ind w:firstLineChars="0" w:firstLine="0"/>
      </w:pPr>
      <w:r>
        <w:tab/>
      </w:r>
      <w:r>
        <w:t>通过定额补助，政府可以为居民提供一定程度的教育保障，使他们不必担心因经济原因而无法接受教育。这有助于提升国民的整体教育水平，为国家的长期发展储备人才。</w:t>
      </w:r>
    </w:p>
    <w:p w:rsidR="00763BDE" w:rsidRDefault="00000000">
      <w:pPr>
        <w:ind w:firstLineChars="0" w:firstLine="0"/>
      </w:pPr>
      <w:r>
        <w:tab/>
      </w:r>
      <w:r>
        <w:t>定额补助还可以促进教育资源的公平分配。当政府为所有居民提供相同数额的补助时，它实际上是在平衡不同地区、不同家庭背景学生的教育机会。</w:t>
      </w:r>
    </w:p>
    <w:p w:rsidR="00763BDE" w:rsidRDefault="00000000">
      <w:pPr>
        <w:pStyle w:val="3"/>
        <w:numPr>
          <w:ilvl w:val="0"/>
          <w:numId w:val="2"/>
        </w:numPr>
        <w:ind w:firstLine="643"/>
      </w:pPr>
      <w:r>
        <w:rPr>
          <w:rFonts w:hint="eastAsia"/>
        </w:rPr>
        <w:t>税率理论</w:t>
      </w:r>
    </w:p>
    <w:p w:rsidR="00763BDE" w:rsidRDefault="00000000">
      <w:pPr>
        <w:ind w:firstLine="480"/>
      </w:pPr>
      <w:r>
        <w:t>比例税率：</w:t>
      </w:r>
    </w:p>
    <w:p w:rsidR="00763BDE" w:rsidRDefault="00000000">
      <w:pPr>
        <w:ind w:firstLine="480"/>
      </w:pPr>
      <w:r>
        <w:t>比例税率是指对同一征税对象，不论其数额大小，都按照同一比例征税。这种税率形式的特点是计算简便，税额与税基成正比，能够体现税收的中性原则。然而，它可能不具备调节纳税人收入的作用，因为不论纳税人收入多少，都适用相同的税率。</w:t>
      </w:r>
    </w:p>
    <w:p w:rsidR="00763BDE" w:rsidRDefault="00000000">
      <w:pPr>
        <w:ind w:firstLine="480"/>
      </w:pPr>
      <w:r>
        <w:t>定额税率：</w:t>
      </w:r>
    </w:p>
    <w:p w:rsidR="00763BDE" w:rsidRDefault="00000000">
      <w:pPr>
        <w:ind w:firstLine="480"/>
      </w:pPr>
      <w:r>
        <w:t>定额税率，也称为固定税额，是指对每一单位征税对象直接规定应纳税额，而不是规定一个征收比例。这种税率形式通常适用于从量计征的税种，如消费税中的部分商品。定额税率的优点是计算简便、征收成本低，但缺点是税额与税基之间缺乏弹性，不能很好地反映纳税人的实际负担能力。</w:t>
      </w:r>
    </w:p>
    <w:p w:rsidR="00763BDE" w:rsidRDefault="00000000">
      <w:pPr>
        <w:ind w:firstLine="480"/>
      </w:pPr>
      <w:r>
        <w:t>累进税率：</w:t>
      </w:r>
    </w:p>
    <w:p w:rsidR="00763BDE" w:rsidRDefault="00000000">
      <w:pPr>
        <w:ind w:firstLine="480"/>
      </w:pPr>
      <w:r>
        <w:t>累进税率是指根据征税对象数额的大小，规定不同等级的税率。一般来说，征税对象数额越大，税率越高。累进税率可以进一步分为全额累进税率、超额累进税率、全率累进税率、超率累进税率等。这种税率形式能够较好地体现税收的公平原则，因为它能够根据纳税人的负担能力来调整税率，实现</w:t>
      </w:r>
      <w:r>
        <w:t>“</w:t>
      </w:r>
      <w:r>
        <w:t>多得多征，少得少征</w:t>
      </w:r>
      <w:r>
        <w:t>”</w:t>
      </w:r>
      <w:r>
        <w:t>的目标。然而，累进税率的计算相对复杂，征收成本也较高。</w:t>
      </w:r>
    </w:p>
    <w:p w:rsidR="00763BDE" w:rsidRDefault="00000000">
      <w:pPr>
        <w:ind w:firstLine="480"/>
      </w:pPr>
      <w:r>
        <w:t>在实际应用中，政府需要根据税收政策的目标、征管能力以及社会经济的实际情况来选择合适的税率形式。同时，税率的设计也需要考虑其对经济行为的影响以及社会的公平与效率问题。</w:t>
      </w:r>
    </w:p>
    <w:p w:rsidR="00763BDE" w:rsidRDefault="00763BDE">
      <w:pPr>
        <w:ind w:firstLine="480"/>
      </w:pPr>
    </w:p>
    <w:sectPr w:rsidR="00763BDE">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94657" w:rsidRDefault="00694657">
      <w:pPr>
        <w:ind w:firstLine="480"/>
      </w:pPr>
      <w:r>
        <w:separator/>
      </w:r>
    </w:p>
  </w:endnote>
  <w:endnote w:type="continuationSeparator" w:id="0">
    <w:p w:rsidR="00694657" w:rsidRDefault="00694657">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E7A6B" w:rsidRDefault="00FE7A6B">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E7A6B" w:rsidRDefault="00FE7A6B">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E7A6B" w:rsidRDefault="00FE7A6B">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94657" w:rsidRDefault="00694657">
      <w:pPr>
        <w:ind w:firstLine="480"/>
      </w:pPr>
      <w:r>
        <w:separator/>
      </w:r>
    </w:p>
  </w:footnote>
  <w:footnote w:type="continuationSeparator" w:id="0">
    <w:p w:rsidR="00694657" w:rsidRDefault="00694657">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E7A6B" w:rsidRDefault="00FE7A6B">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E7A6B" w:rsidRDefault="00FE7A6B">
    <w:pPr>
      <w:pStyle w:val="a5"/>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E7A6B" w:rsidRDefault="00FE7A6B">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C77494"/>
    <w:multiLevelType w:val="singleLevel"/>
    <w:tmpl w:val="13C77494"/>
    <w:lvl w:ilvl="0">
      <w:start w:val="2"/>
      <w:numFmt w:val="chineseCounting"/>
      <w:suff w:val="nothing"/>
      <w:lvlText w:val="（%1）"/>
      <w:lvlJc w:val="left"/>
      <w:rPr>
        <w:rFonts w:hint="eastAsia"/>
      </w:rPr>
    </w:lvl>
  </w:abstractNum>
  <w:abstractNum w:abstractNumId="1" w15:restartNumberingAfterBreak="0">
    <w:nsid w:val="581C282B"/>
    <w:multiLevelType w:val="singleLevel"/>
    <w:tmpl w:val="581C282B"/>
    <w:lvl w:ilvl="0">
      <w:start w:val="6"/>
      <w:numFmt w:val="chineseCounting"/>
      <w:suff w:val="space"/>
      <w:lvlText w:val="第%1章"/>
      <w:lvlJc w:val="left"/>
      <w:rPr>
        <w:rFonts w:hint="eastAsia"/>
      </w:rPr>
    </w:lvl>
  </w:abstractNum>
  <w:num w:numId="1" w16cid:durableId="1648318131">
    <w:abstractNumId w:val="0"/>
  </w:num>
  <w:num w:numId="2" w16cid:durableId="16711028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hdrShapeDefaults>
    <o:shapedefaults v:ext="edit" spidmax="10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mU0MmI3ZTYzZGIxZGJmYTViNGU5ZjY0Nzc4OThhOGMifQ=="/>
  </w:docVars>
  <w:rsids>
    <w:rsidRoot w:val="616A6538"/>
    <w:rsid w:val="006736DC"/>
    <w:rsid w:val="00694657"/>
    <w:rsid w:val="00763BDE"/>
    <w:rsid w:val="00FE7A6B"/>
    <w:rsid w:val="2E5648D4"/>
    <w:rsid w:val="616A6538"/>
    <w:rsid w:val="749C4C61"/>
    <w:rsid w:val="7C4F7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docId w15:val="{FD9DEE8D-46FD-4544-B013-C69B234F4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ind w:firstLineChars="200" w:firstLine="1044"/>
      <w:jc w:val="both"/>
    </w:pPr>
    <w:rPr>
      <w:rFonts w:asciiTheme="minorHAnsi" w:hAnsiTheme="minorHAnsi" w:cstheme="minorBidi"/>
      <w:kern w:val="2"/>
      <w:sz w:val="24"/>
      <w:szCs w:val="22"/>
    </w:rPr>
  </w:style>
  <w:style w:type="paragraph" w:styleId="3">
    <w:name w:val="heading 3"/>
    <w:basedOn w:val="a"/>
    <w:next w:val="a"/>
    <w:unhideWhenUsed/>
    <w:qFormat/>
    <w:pPr>
      <w:keepNext/>
      <w:keepLines/>
      <w:spacing w:before="260" w:after="260" w:line="413" w:lineRule="auto"/>
      <w:outlineLvl w:val="2"/>
    </w:pPr>
    <w:rPr>
      <w:b/>
      <w:sz w:val="32"/>
    </w:rPr>
  </w:style>
  <w:style w:type="paragraph" w:styleId="4">
    <w:name w:val="heading 4"/>
    <w:basedOn w:val="a"/>
    <w:next w:val="a"/>
    <w:link w:val="40"/>
    <w:unhideWhenUsed/>
    <w:qFormat/>
    <w:pPr>
      <w:keepNext/>
      <w:keepLines/>
      <w:spacing w:before="280" w:after="290" w:line="372" w:lineRule="auto"/>
      <w:ind w:leftChars="100" w:left="100" w:firstLine="883"/>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rPr>
  </w:style>
  <w:style w:type="character" w:styleId="a4">
    <w:name w:val="Strong"/>
    <w:basedOn w:val="a0"/>
    <w:qFormat/>
    <w:rPr>
      <w:b/>
    </w:rPr>
  </w:style>
  <w:style w:type="character" w:customStyle="1" w:styleId="40">
    <w:name w:val="标题 4 字符"/>
    <w:link w:val="4"/>
    <w:qFormat/>
    <w:rPr>
      <w:rFonts w:ascii="Arial" w:eastAsia="黑体" w:hAnsi="Arial"/>
      <w:b/>
      <w:sz w:val="28"/>
    </w:rPr>
  </w:style>
  <w:style w:type="paragraph" w:styleId="a5">
    <w:name w:val="header"/>
    <w:basedOn w:val="a"/>
    <w:link w:val="a6"/>
    <w:rsid w:val="00FE7A6B"/>
    <w:pPr>
      <w:tabs>
        <w:tab w:val="center" w:pos="4153"/>
        <w:tab w:val="right" w:pos="8306"/>
      </w:tabs>
      <w:snapToGrid w:val="0"/>
      <w:jc w:val="center"/>
    </w:pPr>
    <w:rPr>
      <w:sz w:val="18"/>
      <w:szCs w:val="18"/>
    </w:rPr>
  </w:style>
  <w:style w:type="character" w:customStyle="1" w:styleId="a6">
    <w:name w:val="页眉 字符"/>
    <w:basedOn w:val="a0"/>
    <w:link w:val="a5"/>
    <w:rsid w:val="00FE7A6B"/>
    <w:rPr>
      <w:rFonts w:asciiTheme="minorHAnsi" w:hAnsiTheme="minorHAnsi" w:cstheme="minorBidi"/>
      <w:kern w:val="2"/>
      <w:sz w:val="18"/>
      <w:szCs w:val="18"/>
    </w:rPr>
  </w:style>
  <w:style w:type="paragraph" w:styleId="a7">
    <w:name w:val="footer"/>
    <w:basedOn w:val="a"/>
    <w:link w:val="a8"/>
    <w:rsid w:val="00FE7A6B"/>
    <w:pPr>
      <w:tabs>
        <w:tab w:val="center" w:pos="4153"/>
        <w:tab w:val="right" w:pos="8306"/>
      </w:tabs>
      <w:snapToGrid w:val="0"/>
      <w:jc w:val="left"/>
    </w:pPr>
    <w:rPr>
      <w:sz w:val="18"/>
      <w:szCs w:val="18"/>
    </w:rPr>
  </w:style>
  <w:style w:type="character" w:customStyle="1" w:styleId="a8">
    <w:name w:val="页脚 字符"/>
    <w:basedOn w:val="a0"/>
    <w:link w:val="a7"/>
    <w:rsid w:val="00FE7A6B"/>
    <w:rPr>
      <w:rFonts w:asciiTheme="minorHAnsi"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702</TotalTime>
  <Pages>4</Pages>
  <Words>467</Words>
  <Characters>2665</Characters>
  <Application>Microsoft Office Word</Application>
  <DocSecurity>0</DocSecurity>
  <Lines>22</Lines>
  <Paragraphs>6</Paragraphs>
  <ScaleCrop>false</ScaleCrop>
  <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快乐小圣</dc:creator>
  <cp:lastModifiedBy>慧贤 戚</cp:lastModifiedBy>
  <cp:revision>2</cp:revision>
  <dcterms:created xsi:type="dcterms:W3CDTF">2024-05-27T02:32:00Z</dcterms:created>
  <dcterms:modified xsi:type="dcterms:W3CDTF">2024-05-27T02:32:00Z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A168C6EEB9714DDDA32B87398BE9E286_11</vt:lpwstr>
  </property>
</Properties>
</file>